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квітні </w:t>
      </w:r>
      <w:r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році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1843"/>
        <w:gridCol w:w="2517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  <w:lang w:val="ru-RU"/>
              </w:rPr>
              <w:t>04.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34651,00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  2020 року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80,00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Заробітна плата працівникам  гімназії за </w:t>
            </w:r>
            <w:r>
              <w:rPr>
                <w:sz w:val="24"/>
                <w:szCs w:val="24"/>
                <w:lang w:val="ru-RU"/>
              </w:rPr>
              <w:t>березень</w:t>
            </w:r>
            <w:r>
              <w:rPr>
                <w:sz w:val="24"/>
                <w:szCs w:val="24"/>
              </w:rPr>
              <w:t xml:space="preserve">  2020 року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17588,00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Проживання волонтерів з Польщі, Китаю за березень, квітень 2020 року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01.05.2020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12277,00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Інформація про виплату заробітної плати у квітні   2020 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7"/>
        <w:gridCol w:w="1571"/>
        <w:gridCol w:w="2009"/>
        <w:gridCol w:w="2009"/>
        <w:gridCol w:w="1885"/>
      </w:tblGrid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342880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355179,01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698059,85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73886,60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78141,74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152028,34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61321,39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70462,64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131784,03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12602,34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15106,37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27708,71</w:t>
            </w:r>
          </w:p>
        </w:tc>
      </w:tr>
      <w:tr>
        <w:trPr>
          <w:trHeight w:val="645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490691,17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518889,76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1009580,93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1BF-8087-457B-807A-CDFDA7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LibreOffice/6.0.7.3$Linux_X86_64 LibreOffice_project/00m0$Build-3</Application>
  <Pages>1</Pages>
  <Words>127</Words>
  <Characters>783</Characters>
  <CharactersWithSpaces>871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2020-05-05T10:36:00Z</dcterms:created>
  <dc:creator>Бухгалтерия</dc:creator>
  <dc:description/>
  <dc:language>ru-RU</dc:language>
  <cp:lastModifiedBy/>
  <cp:lastPrinted>2020-05-05T10:41:00Z</cp:lastPrinted>
  <dcterms:modified xsi:type="dcterms:W3CDTF">2020-05-07T11:34:45Z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